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A" w:rsidRDefault="003D19C4" w:rsidP="0090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19C4">
        <w:rPr>
          <w:rFonts w:ascii="Times New Roman" w:hAnsi="Times New Roman" w:cs="Times New Roman"/>
          <w:b/>
          <w:sz w:val="24"/>
        </w:rPr>
        <w:t>FEDERAL STUDENTS RIGHT TO KNOW ACT</w:t>
      </w:r>
    </w:p>
    <w:p w:rsidR="00523461" w:rsidRDefault="00523461" w:rsidP="0090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GRADUATION/COMPLETION RATES</w:t>
      </w:r>
      <w:r w:rsidR="004E000D">
        <w:rPr>
          <w:rFonts w:ascii="Times New Roman" w:hAnsi="Times New Roman" w:cs="Times New Roman"/>
          <w:b/>
          <w:sz w:val="24"/>
        </w:rPr>
        <w:t xml:space="preserve"> 2021</w:t>
      </w:r>
      <w:bookmarkStart w:id="0" w:name="_GoBack"/>
      <w:bookmarkEnd w:id="0"/>
    </w:p>
    <w:p w:rsidR="00906CEB" w:rsidRPr="003D19C4" w:rsidRDefault="00906CEB" w:rsidP="0090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AB8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</w:rPr>
        <w:t>The Student Right-to-Know Act, passed by Congress in 1990, requires institutions eligible for Title IV funding, under the Higher Education Act of 1965, to calculate completion or graduation rates of certificate- or degree-seeking, full-time students entering that institution, and to disclose these rates to current and prospective students.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D19C4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The following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completion/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graduation-rate information is listed in compliance with the Federal Right-to-Know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Act, Section 103 and includes full-time, first-time students who have graduated within 150% of the length of their program.</w:t>
      </w:r>
    </w:p>
    <w:p w:rsidR="00B31BF3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These rates are the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completion/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graduation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-rate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data reported by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23461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Modern Technology </w:t>
      </w:r>
      <w:r w:rsidR="00F253DC">
        <w:rPr>
          <w:rFonts w:ascii="Times New Roman" w:hAnsi="Times New Roman" w:cs="Times New Roman"/>
          <w:b/>
          <w:i/>
          <w:sz w:val="24"/>
          <w:szCs w:val="24"/>
          <w:lang w:val="en"/>
        </w:rPr>
        <w:t>School,</w:t>
      </w:r>
      <w:r w:rsidR="00237AB0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F253DC">
        <w:rPr>
          <w:rFonts w:ascii="Times New Roman" w:hAnsi="Times New Roman" w:cs="Times New Roman"/>
          <w:sz w:val="24"/>
          <w:szCs w:val="24"/>
          <w:lang w:val="en"/>
        </w:rPr>
        <w:t xml:space="preserve"> August 31, </w:t>
      </w:r>
      <w:r w:rsidR="00EB68FB">
        <w:rPr>
          <w:rFonts w:ascii="Times New Roman" w:hAnsi="Times New Roman" w:cs="Times New Roman"/>
          <w:sz w:val="24"/>
          <w:szCs w:val="24"/>
          <w:lang w:val="en"/>
        </w:rPr>
        <w:t>2020</w:t>
      </w:r>
      <w:r w:rsidR="00523461">
        <w:rPr>
          <w:rFonts w:ascii="Times New Roman" w:hAnsi="Times New Roman" w:cs="Times New Roman"/>
          <w:sz w:val="24"/>
          <w:szCs w:val="24"/>
          <w:lang w:val="en"/>
        </w:rPr>
        <w:t xml:space="preserve"> immediately following the 12-mon</w:t>
      </w:r>
      <w:r w:rsidR="00F253DC">
        <w:rPr>
          <w:rFonts w:ascii="Times New Roman" w:hAnsi="Times New Roman" w:cs="Times New Roman"/>
          <w:sz w:val="24"/>
          <w:szCs w:val="24"/>
          <w:lang w:val="en"/>
        </w:rPr>
        <w:t>th period</w:t>
      </w:r>
      <w:r w:rsidR="00B608E0">
        <w:rPr>
          <w:rFonts w:ascii="Times New Roman" w:hAnsi="Times New Roman" w:cs="Times New Roman"/>
          <w:sz w:val="24"/>
          <w:szCs w:val="24"/>
          <w:lang w:val="en"/>
        </w:rPr>
        <w:t>;</w:t>
      </w:r>
      <w:r w:rsidR="00523461">
        <w:rPr>
          <w:rFonts w:ascii="Times New Roman" w:hAnsi="Times New Roman" w:cs="Times New Roman"/>
          <w:sz w:val="24"/>
          <w:szCs w:val="24"/>
          <w:lang w:val="en"/>
        </w:rPr>
        <w:t xml:space="preserve"> during which 150% of the normal time for completion or graduation has elapsed for all student in the group which the institution bases its completion or graduation rates</w:t>
      </w:r>
      <w:r w:rsidR="00237AB0">
        <w:rPr>
          <w:rFonts w:ascii="Times New Roman" w:hAnsi="Times New Roman" w:cs="Times New Roman"/>
          <w:sz w:val="24"/>
          <w:szCs w:val="24"/>
          <w:lang w:val="en"/>
        </w:rPr>
        <w:t xml:space="preserve"> (as defined in IPEDS)</w:t>
      </w:r>
      <w:r w:rsidR="00523461">
        <w:rPr>
          <w:rFonts w:ascii="Times New Roman" w:hAnsi="Times New Roman" w:cs="Times New Roman"/>
          <w:sz w:val="24"/>
          <w:szCs w:val="24"/>
          <w:lang w:val="en"/>
        </w:rPr>
        <w:t>. The School has no transfer out rates</w:t>
      </w:r>
      <w:r w:rsidR="00B608E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253DC">
        <w:rPr>
          <w:rFonts w:ascii="Times New Roman" w:hAnsi="Times New Roman" w:cs="Times New Roman"/>
          <w:sz w:val="24"/>
          <w:szCs w:val="24"/>
          <w:lang w:val="en"/>
        </w:rPr>
        <w:t xml:space="preserve"> Full year cohort used from IPEDS September 1, 201</w:t>
      </w:r>
      <w:r w:rsidR="00EB68FB">
        <w:rPr>
          <w:rFonts w:ascii="Times New Roman" w:hAnsi="Times New Roman" w:cs="Times New Roman"/>
          <w:sz w:val="24"/>
          <w:szCs w:val="24"/>
          <w:lang w:val="en"/>
        </w:rPr>
        <w:t>7 – August 31, 2018</w:t>
      </w:r>
      <w:r w:rsidR="00F253DC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2346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B31BF3" w:rsidTr="00DD5FC6">
        <w:tc>
          <w:tcPr>
            <w:tcW w:w="5935" w:type="dxa"/>
          </w:tcPr>
          <w:p w:rsidR="00B31BF3" w:rsidRDefault="00B31BF3" w:rsidP="003D19C4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1350" w:type="dxa"/>
          </w:tcPr>
          <w:p w:rsidR="00B31BF3" w:rsidRPr="00DD5FC6" w:rsidRDefault="00B31BF3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31BF3" w:rsidRPr="00DD5FC6" w:rsidRDefault="00B31BF3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B31BF3" w:rsidTr="00DD5FC6">
        <w:tc>
          <w:tcPr>
            <w:tcW w:w="5935" w:type="dxa"/>
          </w:tcPr>
          <w:p w:rsidR="00B31BF3" w:rsidRPr="00DD5FC6" w:rsidRDefault="00B31BF3" w:rsidP="00B7533F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Overall Completion Rate</w:t>
            </w:r>
            <w:r w:rsidR="00DD5FC6"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:</w:t>
            </w:r>
            <w:r w:rsidR="00B7533F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 xml:space="preserve">                                 </w:t>
            </w:r>
            <w:r w:rsidR="00B7533F" w:rsidRP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(93 of 123) </w:t>
            </w:r>
          </w:p>
        </w:tc>
        <w:tc>
          <w:tcPr>
            <w:tcW w:w="1350" w:type="dxa"/>
          </w:tcPr>
          <w:p w:rsidR="00B31BF3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93</w:t>
            </w:r>
          </w:p>
        </w:tc>
        <w:tc>
          <w:tcPr>
            <w:tcW w:w="2065" w:type="dxa"/>
          </w:tcPr>
          <w:p w:rsidR="00B31BF3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76</w:t>
            </w:r>
            <w:r w:rsid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3D19C4" w:rsidRDefault="003D19C4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Tr="00DD5FC6">
        <w:tc>
          <w:tcPr>
            <w:tcW w:w="5935" w:type="dxa"/>
          </w:tcPr>
          <w:p w:rsidR="00DD5FC6" w:rsidRPr="00DD5FC6" w:rsidRDefault="00DD5FC6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 by Gender:</w:t>
            </w:r>
          </w:p>
        </w:tc>
        <w:tc>
          <w:tcPr>
            <w:tcW w:w="1350" w:type="dxa"/>
          </w:tcPr>
          <w:p w:rsidR="00DD5FC6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DD5FC6" w:rsidRPr="005A5A76" w:rsidTr="00DD5FC6">
        <w:tc>
          <w:tcPr>
            <w:tcW w:w="5935" w:type="dxa"/>
          </w:tcPr>
          <w:p w:rsidR="00DD5FC6" w:rsidRPr="005A5A76" w:rsidRDefault="00DD5FC6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Male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             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(37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/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49)</w:t>
            </w:r>
          </w:p>
        </w:tc>
        <w:tc>
          <w:tcPr>
            <w:tcW w:w="1350" w:type="dxa"/>
          </w:tcPr>
          <w:p w:rsidR="00DD5FC6" w:rsidRPr="005A5A76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37</w:t>
            </w:r>
          </w:p>
        </w:tc>
        <w:tc>
          <w:tcPr>
            <w:tcW w:w="2065" w:type="dxa"/>
          </w:tcPr>
          <w:p w:rsidR="00DD5FC6" w:rsidRPr="005A5A76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76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DD5FC6" w:rsidRPr="005A5A76" w:rsidTr="00DD5FC6">
        <w:tc>
          <w:tcPr>
            <w:tcW w:w="5935" w:type="dxa"/>
          </w:tcPr>
          <w:p w:rsidR="00DD5FC6" w:rsidRPr="005A5A76" w:rsidRDefault="00DD5FC6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Female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         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(56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/</w:t>
            </w:r>
            <w:r w:rsidR="00B7533F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74)</w:t>
            </w:r>
          </w:p>
        </w:tc>
        <w:tc>
          <w:tcPr>
            <w:tcW w:w="1350" w:type="dxa"/>
          </w:tcPr>
          <w:p w:rsidR="00DD5FC6" w:rsidRPr="005A5A76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56</w:t>
            </w:r>
          </w:p>
        </w:tc>
        <w:tc>
          <w:tcPr>
            <w:tcW w:w="2065" w:type="dxa"/>
          </w:tcPr>
          <w:p w:rsidR="00DD5FC6" w:rsidRPr="005A5A76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76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B31BF3" w:rsidRPr="005A5A76" w:rsidRDefault="00B31BF3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RPr="005A5A76" w:rsidTr="00DD5FC6">
        <w:tc>
          <w:tcPr>
            <w:tcW w:w="5935" w:type="dxa"/>
          </w:tcPr>
          <w:p w:rsidR="00DD5FC6" w:rsidRPr="005A5A76" w:rsidRDefault="00DD5FC6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 by Ethnicity:</w:t>
            </w:r>
            <w:r w:rsidR="007311D8"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 xml:space="preserve"> </w:t>
            </w:r>
            <w:r w:rsidR="007311D8" w:rsidRPr="005A5A76">
              <w:rPr>
                <w:rFonts w:ascii="Times New Roman" w:hAnsi="Times New Roman" w:cs="Times New Roman"/>
                <w:color w:val="222222"/>
                <w:sz w:val="16"/>
                <w:lang w:val="en"/>
              </w:rPr>
              <w:t>(as defined by IPEDS)</w:t>
            </w:r>
          </w:p>
        </w:tc>
        <w:tc>
          <w:tcPr>
            <w:tcW w:w="1350" w:type="dxa"/>
          </w:tcPr>
          <w:p w:rsidR="00DD5FC6" w:rsidRPr="005A5A7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5A5A7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7311D8" w:rsidRPr="005A5A76" w:rsidTr="00DD5FC6">
        <w:tc>
          <w:tcPr>
            <w:tcW w:w="5935" w:type="dxa"/>
          </w:tcPr>
          <w:p w:rsidR="007311D8" w:rsidRPr="005A5A76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American Indian/Alaska Native</w:t>
            </w:r>
          </w:p>
        </w:tc>
        <w:tc>
          <w:tcPr>
            <w:tcW w:w="1350" w:type="dxa"/>
          </w:tcPr>
          <w:p w:rsidR="007311D8" w:rsidRPr="005A5A76" w:rsidRDefault="005A5A76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0</w:t>
            </w:r>
          </w:p>
        </w:tc>
        <w:tc>
          <w:tcPr>
            <w:tcW w:w="2065" w:type="dxa"/>
          </w:tcPr>
          <w:p w:rsidR="007311D8" w:rsidRPr="005A5A76" w:rsidRDefault="005A5A76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0%</w:t>
            </w:r>
          </w:p>
        </w:tc>
      </w:tr>
      <w:tr w:rsidR="007311D8" w:rsidRPr="005A5A76" w:rsidTr="00DD5FC6">
        <w:tc>
          <w:tcPr>
            <w:tcW w:w="5935" w:type="dxa"/>
          </w:tcPr>
          <w:p w:rsidR="007311D8" w:rsidRPr="005A5A76" w:rsidRDefault="007311D8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Asian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                 (11/18)</w:t>
            </w:r>
          </w:p>
        </w:tc>
        <w:tc>
          <w:tcPr>
            <w:tcW w:w="1350" w:type="dxa"/>
          </w:tcPr>
          <w:p w:rsidR="007311D8" w:rsidRPr="005A5A76" w:rsidRDefault="00B73BE3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11</w:t>
            </w:r>
          </w:p>
        </w:tc>
        <w:tc>
          <w:tcPr>
            <w:tcW w:w="2065" w:type="dxa"/>
          </w:tcPr>
          <w:p w:rsidR="007311D8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61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Black/African American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(2/4)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2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Hispanic/Latino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(40/51)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40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Native Hawaiian/Pacific Islander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0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917C4E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White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                (21/26)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21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7311D8">
        <w:trPr>
          <w:trHeight w:val="58"/>
        </w:trPr>
        <w:tc>
          <w:tcPr>
            <w:tcW w:w="5935" w:type="dxa"/>
          </w:tcPr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1350" w:type="dxa"/>
          </w:tcPr>
          <w:p w:rsidR="00737990" w:rsidRPr="005A5A76" w:rsidRDefault="00737990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2065" w:type="dxa"/>
          </w:tcPr>
          <w:p w:rsidR="00737990" w:rsidRPr="005A5A76" w:rsidRDefault="00737990" w:rsidP="00737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Two or more races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(8/10)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Ethnicity unknown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(5/8)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5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RPr="005A5A76" w:rsidTr="00DD5FC6">
        <w:tc>
          <w:tcPr>
            <w:tcW w:w="5935" w:type="dxa"/>
          </w:tcPr>
          <w:p w:rsidR="007311D8" w:rsidRPr="005A5A76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Nonresident alien</w:t>
            </w:r>
            <w:r w:rsidR="00917C4E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                                                          (2/2)</w:t>
            </w:r>
          </w:p>
        </w:tc>
        <w:tc>
          <w:tcPr>
            <w:tcW w:w="1350" w:type="dxa"/>
          </w:tcPr>
          <w:p w:rsidR="007311D8" w:rsidRPr="005A5A76" w:rsidRDefault="00F3584F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2</w:t>
            </w:r>
          </w:p>
        </w:tc>
        <w:tc>
          <w:tcPr>
            <w:tcW w:w="2065" w:type="dxa"/>
          </w:tcPr>
          <w:p w:rsidR="007311D8" w:rsidRPr="005A5A76" w:rsidRDefault="00F3584F" w:rsidP="00F3584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100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3D19C4" w:rsidRPr="005A5A76" w:rsidRDefault="003D19C4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RPr="005A5A76" w:rsidTr="00DD5FC6">
        <w:tc>
          <w:tcPr>
            <w:tcW w:w="5935" w:type="dxa"/>
          </w:tcPr>
          <w:p w:rsidR="00DD5FC6" w:rsidRPr="005A5A76" w:rsidRDefault="007311D8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Completions</w:t>
            </w:r>
            <w:r w:rsidR="00DD5FC6"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 xml:space="preserve"> Rate by Grant/Loan Recipients:</w:t>
            </w:r>
          </w:p>
        </w:tc>
        <w:tc>
          <w:tcPr>
            <w:tcW w:w="1350" w:type="dxa"/>
          </w:tcPr>
          <w:p w:rsidR="00DD5FC6" w:rsidRPr="005A5A7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5A5A7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Rate</w:t>
            </w:r>
          </w:p>
        </w:tc>
      </w:tr>
      <w:tr w:rsidR="00737990" w:rsidRPr="005A5A76" w:rsidTr="00DD5FC6">
        <w:tc>
          <w:tcPr>
            <w:tcW w:w="5935" w:type="dxa"/>
          </w:tcPr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Recipients of a Pell Grant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40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76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BF423B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Recipient of a Direct Subsidized Loan </w:t>
            </w:r>
          </w:p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that did not receive a Pell Grant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19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83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7990" w:rsidRPr="005A5A76" w:rsidTr="00DD5FC6">
        <w:tc>
          <w:tcPr>
            <w:tcW w:w="5935" w:type="dxa"/>
          </w:tcPr>
          <w:p w:rsidR="00BF423B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 xml:space="preserve">Did not receive either a Pell Grant </w:t>
            </w:r>
          </w:p>
          <w:p w:rsidR="00737990" w:rsidRPr="005A5A76" w:rsidRDefault="00737990" w:rsidP="00737990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or Direct Subsidized Loan</w:t>
            </w:r>
          </w:p>
        </w:tc>
        <w:tc>
          <w:tcPr>
            <w:tcW w:w="1350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34</w:t>
            </w:r>
          </w:p>
        </w:tc>
        <w:tc>
          <w:tcPr>
            <w:tcW w:w="2065" w:type="dxa"/>
          </w:tcPr>
          <w:p w:rsidR="00737990" w:rsidRPr="005A5A76" w:rsidRDefault="00F3584F" w:rsidP="0073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72</w:t>
            </w:r>
            <w:r w:rsidR="005A5A76" w:rsidRPr="005A5A7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3D19C4" w:rsidRPr="003D19C4" w:rsidRDefault="003D19C4" w:rsidP="003D19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D19C4" w:rsidRPr="003D19C4" w:rsidSect="00882F06">
      <w:foot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E1" w:rsidRDefault="00D903E1" w:rsidP="005456A4">
      <w:pPr>
        <w:spacing w:after="0" w:line="240" w:lineRule="auto"/>
      </w:pPr>
      <w:r>
        <w:separator/>
      </w:r>
    </w:p>
  </w:endnote>
  <w:endnote w:type="continuationSeparator" w:id="0">
    <w:p w:rsidR="00D903E1" w:rsidRDefault="00D903E1" w:rsidP="0054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A4" w:rsidRPr="00BF423B" w:rsidRDefault="00085D33">
    <w:pPr>
      <w:pStyle w:val="Footer"/>
      <w:rPr>
        <w:color w:val="808080" w:themeColor="background1" w:themeShade="80"/>
      </w:rPr>
    </w:pPr>
    <w:r w:rsidRPr="00BF423B">
      <w:rPr>
        <w:color w:val="808080" w:themeColor="background1" w:themeShade="80"/>
      </w:rPr>
      <w:t>Released</w:t>
    </w:r>
    <w:r w:rsidR="005456A4" w:rsidRPr="00BF423B">
      <w:rPr>
        <w:color w:val="808080" w:themeColor="background1" w:themeShade="80"/>
      </w:rPr>
      <w:t xml:space="preserve"> to students</w:t>
    </w:r>
    <w:r w:rsidRPr="00BF423B">
      <w:rPr>
        <w:color w:val="808080" w:themeColor="background1" w:themeShade="80"/>
      </w:rPr>
      <w:t xml:space="preserve"> &amp; website</w:t>
    </w:r>
    <w:r w:rsidR="00917C4E">
      <w:rPr>
        <w:color w:val="808080" w:themeColor="background1" w:themeShade="80"/>
      </w:rPr>
      <w:t xml:space="preserve"> on June 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E1" w:rsidRDefault="00D903E1" w:rsidP="005456A4">
      <w:pPr>
        <w:spacing w:after="0" w:line="240" w:lineRule="auto"/>
      </w:pPr>
      <w:r>
        <w:separator/>
      </w:r>
    </w:p>
  </w:footnote>
  <w:footnote w:type="continuationSeparator" w:id="0">
    <w:p w:rsidR="00D903E1" w:rsidRDefault="00D903E1" w:rsidP="0054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7CwNDUzMTY0MjdR0lEKTi0uzszPAykwrwUAAAIMpywAAAA="/>
  </w:docVars>
  <w:rsids>
    <w:rsidRoot w:val="00C7136B"/>
    <w:rsid w:val="00005CFF"/>
    <w:rsid w:val="00015493"/>
    <w:rsid w:val="00085D33"/>
    <w:rsid w:val="000B4C1E"/>
    <w:rsid w:val="000F6BAB"/>
    <w:rsid w:val="00237AB0"/>
    <w:rsid w:val="00380B0A"/>
    <w:rsid w:val="003A1F09"/>
    <w:rsid w:val="003D19C4"/>
    <w:rsid w:val="00453E24"/>
    <w:rsid w:val="004E000D"/>
    <w:rsid w:val="00523461"/>
    <w:rsid w:val="00541C08"/>
    <w:rsid w:val="005456A4"/>
    <w:rsid w:val="005A5A76"/>
    <w:rsid w:val="005E3C25"/>
    <w:rsid w:val="006677E9"/>
    <w:rsid w:val="007311D8"/>
    <w:rsid w:val="00737990"/>
    <w:rsid w:val="008560CA"/>
    <w:rsid w:val="008777FC"/>
    <w:rsid w:val="00882F06"/>
    <w:rsid w:val="00906CEB"/>
    <w:rsid w:val="00917C4E"/>
    <w:rsid w:val="00996739"/>
    <w:rsid w:val="00A03FF7"/>
    <w:rsid w:val="00A8488D"/>
    <w:rsid w:val="00B31BF3"/>
    <w:rsid w:val="00B3375B"/>
    <w:rsid w:val="00B55761"/>
    <w:rsid w:val="00B608E0"/>
    <w:rsid w:val="00B73BE3"/>
    <w:rsid w:val="00B7533F"/>
    <w:rsid w:val="00B81AB8"/>
    <w:rsid w:val="00BB550C"/>
    <w:rsid w:val="00BF423B"/>
    <w:rsid w:val="00C07880"/>
    <w:rsid w:val="00C2457B"/>
    <w:rsid w:val="00C507CE"/>
    <w:rsid w:val="00C7136B"/>
    <w:rsid w:val="00D77624"/>
    <w:rsid w:val="00D903E1"/>
    <w:rsid w:val="00DD5FC6"/>
    <w:rsid w:val="00EB68FB"/>
    <w:rsid w:val="00F253DC"/>
    <w:rsid w:val="00F3584F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CABB6-BD29-47FB-A090-AF4E282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A4"/>
  </w:style>
  <w:style w:type="paragraph" w:styleId="Footer">
    <w:name w:val="footer"/>
    <w:basedOn w:val="Normal"/>
    <w:link w:val="FooterChar"/>
    <w:uiPriority w:val="99"/>
    <w:unhideWhenUsed/>
    <w:rsid w:val="0054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A4"/>
  </w:style>
  <w:style w:type="paragraph" w:styleId="BalloonText">
    <w:name w:val="Balloon Text"/>
    <w:basedOn w:val="Normal"/>
    <w:link w:val="BalloonTextChar"/>
    <w:uiPriority w:val="99"/>
    <w:semiHidden/>
    <w:unhideWhenUsed/>
    <w:rsid w:val="0090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35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Shannon</dc:creator>
  <cp:keywords/>
  <dc:description/>
  <cp:lastModifiedBy>Sue Shannon</cp:lastModifiedBy>
  <cp:revision>6</cp:revision>
  <cp:lastPrinted>2019-05-29T16:18:00Z</cp:lastPrinted>
  <dcterms:created xsi:type="dcterms:W3CDTF">2021-05-18T18:33:00Z</dcterms:created>
  <dcterms:modified xsi:type="dcterms:W3CDTF">2021-05-18T18:50:00Z</dcterms:modified>
</cp:coreProperties>
</file>